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C86" w:rsidRDefault="0027734F">
      <w:pPr>
        <w:spacing w:line="560" w:lineRule="exact"/>
        <w:jc w:val="center"/>
        <w:rPr>
          <w:rFonts w:ascii="仿宋_GB2312" w:eastAsia="仿宋_GB2312" w:hAnsi="黑体"/>
          <w:sz w:val="32"/>
          <w:szCs w:val="32"/>
        </w:rPr>
      </w:pPr>
      <w:bookmarkStart w:id="0" w:name="_GoBack"/>
      <w:bookmarkEnd w:id="0"/>
      <w:r>
        <w:rPr>
          <w:rFonts w:ascii="黑体" w:eastAsia="黑体" w:hAnsi="黑体" w:hint="eastAsia"/>
          <w:sz w:val="32"/>
          <w:szCs w:val="32"/>
        </w:rPr>
        <w:t>《国际税收（双语）》课程</w:t>
      </w:r>
      <w:r>
        <w:rPr>
          <w:rFonts w:ascii="黑体" w:eastAsia="黑体" w:hAnsi="黑体" w:hint="eastAsia"/>
          <w:sz w:val="30"/>
          <w:szCs w:val="30"/>
        </w:rPr>
        <w:t>中英文简介（黑体，小三）</w:t>
      </w:r>
    </w:p>
    <w:p w:rsidR="00745C86" w:rsidRDefault="0027734F">
      <w:pPr>
        <w:spacing w:line="560" w:lineRule="exact"/>
        <w:jc w:val="center"/>
        <w:rPr>
          <w:rFonts w:ascii="仿宋_GB2312" w:eastAsia="仿宋_GB2312"/>
          <w:bCs/>
          <w:color w:val="000000"/>
          <w:kern w:val="0"/>
          <w:sz w:val="28"/>
          <w:szCs w:val="28"/>
        </w:rPr>
      </w:pPr>
      <w:r>
        <w:rPr>
          <w:rFonts w:eastAsia="仿宋_GB2312" w:hint="eastAsia"/>
          <w:bCs/>
          <w:color w:val="000000"/>
          <w:kern w:val="0"/>
          <w:sz w:val="28"/>
          <w:szCs w:val="28"/>
        </w:rPr>
        <w:t xml:space="preserve">International Taxation </w:t>
      </w:r>
      <w:r>
        <w:rPr>
          <w:rFonts w:eastAsia="仿宋_GB2312"/>
          <w:bCs/>
          <w:color w:val="000000"/>
          <w:kern w:val="0"/>
          <w:sz w:val="28"/>
          <w:szCs w:val="28"/>
        </w:rPr>
        <w:t>（</w:t>
      </w:r>
      <w:r>
        <w:rPr>
          <w:rFonts w:eastAsia="仿宋_GB2312" w:hint="eastAsia"/>
          <w:bCs/>
          <w:color w:val="000000"/>
          <w:kern w:val="0"/>
          <w:sz w:val="28"/>
          <w:szCs w:val="28"/>
        </w:rPr>
        <w:t xml:space="preserve"> Bilingual Course</w:t>
      </w:r>
      <w:r>
        <w:rPr>
          <w:rFonts w:ascii="仿宋_GB2312" w:eastAsia="仿宋_GB2312" w:hint="eastAsia"/>
          <w:bCs/>
          <w:color w:val="000000"/>
          <w:kern w:val="0"/>
          <w:sz w:val="28"/>
          <w:szCs w:val="28"/>
        </w:rPr>
        <w:t>）</w:t>
      </w:r>
    </w:p>
    <w:p w:rsidR="00745C86" w:rsidRDefault="00745C86">
      <w:pPr>
        <w:spacing w:line="500" w:lineRule="exact"/>
        <w:rPr>
          <w:rFonts w:ascii="仿宋_GB2312" w:eastAsia="仿宋_GB2312" w:hAnsi="宋体"/>
          <w:sz w:val="32"/>
          <w:szCs w:val="32"/>
        </w:rPr>
      </w:pPr>
    </w:p>
    <w:p w:rsidR="00745C86" w:rsidRDefault="0027734F">
      <w:pPr>
        <w:tabs>
          <w:tab w:val="left" w:pos="3990"/>
        </w:tabs>
        <w:spacing w:line="500" w:lineRule="exact"/>
        <w:rPr>
          <w:rFonts w:ascii="宋体" w:hAnsi="宋体"/>
          <w:szCs w:val="21"/>
        </w:rPr>
      </w:pPr>
      <w:r>
        <w:rPr>
          <w:rFonts w:ascii="黑体" w:eastAsia="黑体" w:hAnsi="黑体" w:hint="eastAsia"/>
          <w:szCs w:val="21"/>
        </w:rPr>
        <w:t>课程代码：</w:t>
      </w:r>
      <w:r>
        <w:rPr>
          <w:rFonts w:ascii="黑体" w:eastAsia="黑体" w:hAnsi="黑体"/>
          <w:color w:val="000000"/>
          <w:szCs w:val="21"/>
        </w:rPr>
        <w:t>090</w:t>
      </w:r>
      <w:r>
        <w:rPr>
          <w:rFonts w:ascii="黑体" w:eastAsia="黑体" w:hAnsi="黑体" w:hint="eastAsia"/>
          <w:color w:val="000000"/>
          <w:szCs w:val="21"/>
        </w:rPr>
        <w:t>522B</w:t>
      </w:r>
      <w:r>
        <w:rPr>
          <w:rFonts w:ascii="仿宋_GB2312" w:eastAsia="仿宋_GB2312" w:hint="eastAsia"/>
          <w:sz w:val="32"/>
          <w:szCs w:val="32"/>
        </w:rPr>
        <w:tab/>
      </w:r>
      <w:r>
        <w:rPr>
          <w:rFonts w:eastAsia="仿宋_GB2312"/>
          <w:b/>
          <w:szCs w:val="21"/>
        </w:rPr>
        <w:t>Course Code</w:t>
      </w:r>
      <w:r>
        <w:rPr>
          <w:rFonts w:eastAsia="仿宋_GB2312"/>
          <w:b/>
          <w:szCs w:val="21"/>
        </w:rPr>
        <w:t>：</w:t>
      </w:r>
      <w:r>
        <w:rPr>
          <w:rFonts w:ascii="黑体" w:eastAsia="黑体" w:hAnsi="黑体"/>
          <w:color w:val="000000"/>
          <w:szCs w:val="21"/>
        </w:rPr>
        <w:t>090</w:t>
      </w:r>
      <w:r>
        <w:rPr>
          <w:rFonts w:ascii="黑体" w:eastAsia="黑体" w:hAnsi="黑体" w:hint="eastAsia"/>
          <w:color w:val="000000"/>
          <w:szCs w:val="21"/>
        </w:rPr>
        <w:t>522B</w:t>
      </w:r>
      <w:r>
        <w:rPr>
          <w:rFonts w:ascii="宋体" w:hAnsi="宋体"/>
          <w:szCs w:val="21"/>
        </w:rPr>
        <w:t xml:space="preserve"> </w:t>
      </w:r>
    </w:p>
    <w:p w:rsidR="00745C86" w:rsidRDefault="0027734F">
      <w:pPr>
        <w:tabs>
          <w:tab w:val="left" w:pos="4111"/>
        </w:tabs>
        <w:spacing w:line="500" w:lineRule="exact"/>
        <w:rPr>
          <w:szCs w:val="21"/>
        </w:rPr>
      </w:pPr>
      <w:r>
        <w:rPr>
          <w:rFonts w:ascii="黑体" w:eastAsia="黑体" w:hAnsi="黑体" w:hint="eastAsia"/>
          <w:szCs w:val="21"/>
        </w:rPr>
        <w:t>课程名称：国际税收（双语）</w:t>
      </w:r>
      <w:r>
        <w:rPr>
          <w:rFonts w:ascii="仿宋_GB2312" w:eastAsia="仿宋_GB2312" w:hint="eastAsia"/>
          <w:sz w:val="32"/>
          <w:szCs w:val="32"/>
        </w:rPr>
        <w:tab/>
      </w:r>
      <w:r>
        <w:rPr>
          <w:rFonts w:eastAsia="仿宋_GB2312"/>
          <w:b/>
          <w:szCs w:val="21"/>
        </w:rPr>
        <w:t>Course Name</w:t>
      </w:r>
      <w:r>
        <w:rPr>
          <w:rFonts w:eastAsia="仿宋_GB2312"/>
          <w:b/>
          <w:szCs w:val="21"/>
        </w:rPr>
        <w:t>：</w:t>
      </w:r>
      <w:r>
        <w:rPr>
          <w:szCs w:val="21"/>
        </w:rPr>
        <w:t>International Taxation</w:t>
      </w:r>
      <w:r>
        <w:rPr>
          <w:rFonts w:hint="eastAsia"/>
          <w:szCs w:val="21"/>
        </w:rPr>
        <w:t xml:space="preserve"> </w:t>
      </w:r>
    </w:p>
    <w:p w:rsidR="00745C86" w:rsidRDefault="0027734F">
      <w:pPr>
        <w:tabs>
          <w:tab w:val="left" w:pos="4111"/>
        </w:tabs>
        <w:spacing w:line="500" w:lineRule="exact"/>
        <w:rPr>
          <w:rFonts w:eastAsia="仿宋_GB2312"/>
          <w:b/>
          <w:sz w:val="32"/>
          <w:szCs w:val="32"/>
        </w:rPr>
      </w:pPr>
      <w:r>
        <w:rPr>
          <w:rFonts w:hint="eastAsia"/>
          <w:szCs w:val="21"/>
        </w:rPr>
        <w:t xml:space="preserve">                                                     ( Bilingual Course )</w:t>
      </w:r>
    </w:p>
    <w:p w:rsidR="00745C86" w:rsidRDefault="0027734F">
      <w:pPr>
        <w:tabs>
          <w:tab w:val="left" w:pos="4111"/>
        </w:tabs>
        <w:spacing w:line="500" w:lineRule="exact"/>
        <w:rPr>
          <w:rFonts w:ascii="仿宋_GB2312" w:eastAsia="仿宋_GB2312"/>
          <w:sz w:val="32"/>
          <w:szCs w:val="32"/>
        </w:rPr>
      </w:pPr>
      <w:r>
        <w:rPr>
          <w:rFonts w:ascii="黑体" w:eastAsia="黑体" w:hAnsi="黑体" w:hint="eastAsia"/>
          <w:szCs w:val="21"/>
        </w:rPr>
        <w:t>学时：32</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b/>
          <w:szCs w:val="21"/>
        </w:rPr>
        <w:t>32</w:t>
      </w:r>
    </w:p>
    <w:p w:rsidR="00745C86" w:rsidRDefault="0027734F">
      <w:pPr>
        <w:tabs>
          <w:tab w:val="left" w:pos="4111"/>
        </w:tabs>
        <w:spacing w:line="500" w:lineRule="exact"/>
        <w:rPr>
          <w:rFonts w:ascii="仿宋_GB2312" w:eastAsia="仿宋_GB2312"/>
          <w:sz w:val="32"/>
          <w:szCs w:val="32"/>
        </w:rPr>
      </w:pPr>
      <w:r>
        <w:rPr>
          <w:rFonts w:ascii="黑体" w:eastAsia="黑体" w:hAnsi="黑体" w:hint="eastAsia"/>
          <w:szCs w:val="21"/>
        </w:rPr>
        <w:t>学分：2</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b/>
          <w:szCs w:val="21"/>
        </w:rPr>
        <w:t>2</w:t>
      </w:r>
    </w:p>
    <w:p w:rsidR="00745C86" w:rsidRDefault="0027734F">
      <w:pPr>
        <w:tabs>
          <w:tab w:val="left" w:pos="4111"/>
        </w:tabs>
        <w:spacing w:line="500" w:lineRule="exact"/>
        <w:rPr>
          <w:rFonts w:ascii="黑体" w:eastAsia="黑体" w:hAnsi="黑体"/>
          <w:szCs w:val="21"/>
        </w:rPr>
      </w:pPr>
      <w:r>
        <w:rPr>
          <w:rFonts w:ascii="黑体" w:eastAsia="黑体" w:hAnsi="黑体" w:hint="eastAsia"/>
          <w:szCs w:val="21"/>
        </w:rPr>
        <w:t>考核方式：开卷</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仿宋_GB2312" w:hint="eastAsia"/>
          <w:b/>
          <w:szCs w:val="21"/>
        </w:rPr>
        <w:t>open</w:t>
      </w:r>
    </w:p>
    <w:p w:rsidR="00745C86" w:rsidRDefault="0027734F">
      <w:pPr>
        <w:tabs>
          <w:tab w:val="left" w:pos="4111"/>
        </w:tabs>
        <w:spacing w:line="500" w:lineRule="exact"/>
        <w:jc w:val="left"/>
        <w:rPr>
          <w:rFonts w:eastAsia="仿宋_GB2312"/>
          <w:bCs/>
          <w:szCs w:val="21"/>
        </w:rPr>
      </w:pPr>
      <w:r>
        <w:rPr>
          <w:rFonts w:ascii="黑体" w:eastAsia="黑体" w:hAnsi="黑体" w:hint="eastAsia"/>
          <w:szCs w:val="21"/>
        </w:rPr>
        <w:t xml:space="preserve">先修课程：财政学、中国税制、 </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仿宋_GB2312" w:hint="eastAsia"/>
          <w:bCs/>
          <w:szCs w:val="21"/>
        </w:rPr>
        <w:t xml:space="preserve">Public Finance      </w:t>
      </w:r>
    </w:p>
    <w:p w:rsidR="00745C86" w:rsidRDefault="0027734F">
      <w:pPr>
        <w:tabs>
          <w:tab w:val="left" w:pos="4111"/>
        </w:tabs>
        <w:spacing w:line="500" w:lineRule="exact"/>
        <w:jc w:val="left"/>
        <w:rPr>
          <w:rFonts w:eastAsia="仿宋_GB2312"/>
          <w:bCs/>
          <w:szCs w:val="21"/>
        </w:rPr>
      </w:pPr>
      <w:r>
        <w:rPr>
          <w:rFonts w:eastAsia="仿宋_GB2312" w:hint="eastAsia"/>
          <w:bCs/>
          <w:szCs w:val="21"/>
        </w:rPr>
        <w:t xml:space="preserve">                                                        Chinese Tax System</w:t>
      </w:r>
    </w:p>
    <w:p w:rsidR="00745C86" w:rsidRDefault="00745C86">
      <w:pPr>
        <w:widowControl/>
        <w:spacing w:line="500" w:lineRule="exact"/>
        <w:jc w:val="left"/>
        <w:rPr>
          <w:rFonts w:ascii="仿宋_GB2312" w:eastAsia="仿宋_GB2312"/>
          <w:kern w:val="0"/>
          <w:sz w:val="32"/>
          <w:szCs w:val="32"/>
        </w:rPr>
      </w:pPr>
    </w:p>
    <w:p w:rsidR="00745C86" w:rsidRDefault="0027734F">
      <w:pPr>
        <w:widowControl/>
        <w:spacing w:line="500" w:lineRule="exact"/>
        <w:ind w:firstLineChars="200" w:firstLine="420"/>
        <w:jc w:val="left"/>
        <w:rPr>
          <w:szCs w:val="21"/>
        </w:rPr>
      </w:pPr>
      <w:r>
        <w:rPr>
          <w:rFonts w:hint="eastAsia"/>
          <w:szCs w:val="21"/>
        </w:rPr>
        <w:t>《国际税收》是高等财经院校税收专业和财政、国际金融、国际贸易、世界经济等专业的选修课之一。作为研究跨国税收关系的一门课程，本课程以学生前期的财政学、税收原理和中国税制等课程为基础，重点研究税收管辖权、国际重复征税及其避免、国际避税逃税和国际反避税反逃税、国际税收协定等内容。作为一门理论与实务紧密结合的课程，本课程既研究理论和国际规范，又涵盖国际避税与反避税的实务操作，是一门理论政策与实务精密结合的课程。通过本课程的学习，要求学生对国际税收基本知识、国际税收惯例和国际避税反避税等问题有比较系统的了解，并熟练掌握国际税收的实务操作。</w:t>
      </w:r>
    </w:p>
    <w:p w:rsidR="00745C86" w:rsidRDefault="0027734F">
      <w:pPr>
        <w:widowControl/>
        <w:spacing w:line="500" w:lineRule="exact"/>
        <w:ind w:firstLineChars="200" w:firstLine="420"/>
        <w:jc w:val="left"/>
        <w:rPr>
          <w:rFonts w:ascii="宋体" w:hAnsi="宋体"/>
          <w:kern w:val="0"/>
          <w:szCs w:val="21"/>
        </w:rPr>
      </w:pPr>
      <w:r>
        <w:rPr>
          <w:rFonts w:ascii="宋体" w:hAnsi="宋体" w:hint="eastAsia"/>
          <w:kern w:val="0"/>
          <w:szCs w:val="21"/>
        </w:rPr>
        <w:t>本课程分为六个部分，分别是导论、居民与常设机构、税收管辖权的划分、转让定价的税务管理、国际反避税规则、国际税收协定。</w:t>
      </w:r>
    </w:p>
    <w:p w:rsidR="00745C86" w:rsidRDefault="00745C86">
      <w:pPr>
        <w:widowControl/>
        <w:spacing w:line="500" w:lineRule="exact"/>
        <w:ind w:firstLineChars="200" w:firstLine="640"/>
        <w:jc w:val="left"/>
        <w:rPr>
          <w:rStyle w:val="longtext1"/>
          <w:rFonts w:ascii="仿宋_GB2312" w:eastAsia="仿宋_GB2312"/>
          <w:color w:val="000000"/>
          <w:sz w:val="32"/>
          <w:szCs w:val="32"/>
        </w:rPr>
      </w:pPr>
    </w:p>
    <w:p w:rsidR="00745C86" w:rsidRDefault="00745C86">
      <w:pPr>
        <w:widowControl/>
        <w:spacing w:line="500" w:lineRule="exact"/>
        <w:ind w:firstLineChars="200" w:firstLine="400"/>
        <w:rPr>
          <w:rStyle w:val="longtext1"/>
          <w:rFonts w:eastAsia="仿宋_GB2312"/>
          <w:color w:val="000000"/>
          <w:szCs w:val="21"/>
        </w:rPr>
      </w:pPr>
    </w:p>
    <w:p w:rsidR="00745C86" w:rsidRDefault="0027734F">
      <w:pPr>
        <w:widowControl/>
        <w:spacing w:line="500" w:lineRule="exact"/>
        <w:ind w:firstLineChars="200" w:firstLine="400"/>
        <w:rPr>
          <w:rStyle w:val="longtext1"/>
          <w:rFonts w:eastAsia="仿宋_GB2312"/>
          <w:color w:val="000000"/>
          <w:szCs w:val="21"/>
        </w:rPr>
      </w:pPr>
      <w:r>
        <w:rPr>
          <w:rStyle w:val="longtext1"/>
          <w:rFonts w:eastAsia="仿宋_GB2312"/>
          <w:color w:val="000000"/>
          <w:szCs w:val="21"/>
        </w:rPr>
        <w:t>This course is</w:t>
      </w:r>
      <w:r>
        <w:rPr>
          <w:rStyle w:val="longtext1"/>
          <w:rFonts w:eastAsia="仿宋_GB2312" w:hint="eastAsia"/>
          <w:color w:val="000000"/>
          <w:szCs w:val="21"/>
        </w:rPr>
        <w:t xml:space="preserve"> is a optional course for undergraduates majoring in Taxation, Public finance, International Finance, International Trade and World Economics. As a course focusing on multinational tax relationship, International Taxation requires the basis of the knowledge of Public finance, Tax principle and Taxation System of China, including tax jurisdiction, double taxation and its elimination , </w:t>
      </w:r>
      <w:r>
        <w:rPr>
          <w:rStyle w:val="longtext1"/>
          <w:rFonts w:eastAsia="仿宋_GB2312" w:hint="eastAsia"/>
          <w:color w:val="000000"/>
          <w:szCs w:val="21"/>
        </w:rPr>
        <w:lastRenderedPageBreak/>
        <w:t>international tax avoidance and anti-tax avoidance</w:t>
      </w:r>
      <w:r>
        <w:rPr>
          <w:rStyle w:val="longtext1"/>
          <w:rFonts w:eastAsia="仿宋_GB2312" w:hint="eastAsia"/>
          <w:color w:val="000000"/>
          <w:szCs w:val="21"/>
        </w:rPr>
        <w:t>，</w:t>
      </w:r>
      <w:r>
        <w:rPr>
          <w:rStyle w:val="longtext1"/>
          <w:rFonts w:eastAsia="仿宋_GB2312" w:hint="eastAsia"/>
          <w:color w:val="000000"/>
          <w:szCs w:val="21"/>
        </w:rPr>
        <w:t xml:space="preserve"> international tax agreement, etc. Being the integration of theory and practice, this course not only includes the theoretical research but also covers the practical operation of international tax planning, which makes this course a combination of policies and practices. Through the study of this course, students are required to acquire the basic knowledge of international tax and master the practice of international tax.</w:t>
      </w:r>
    </w:p>
    <w:p w:rsidR="00745C86" w:rsidRDefault="0027734F">
      <w:pPr>
        <w:widowControl/>
        <w:spacing w:line="500" w:lineRule="exact"/>
        <w:ind w:firstLineChars="200" w:firstLine="400"/>
        <w:rPr>
          <w:rStyle w:val="longtext1"/>
          <w:rFonts w:eastAsia="仿宋_GB2312"/>
          <w:color w:val="000000"/>
          <w:szCs w:val="21"/>
        </w:rPr>
      </w:pPr>
      <w:r>
        <w:rPr>
          <w:rStyle w:val="longtext1"/>
          <w:rFonts w:eastAsia="仿宋_GB2312"/>
          <w:color w:val="000000"/>
          <w:szCs w:val="21"/>
        </w:rPr>
        <w:t>This course</w:t>
      </w:r>
      <w:r>
        <w:rPr>
          <w:rStyle w:val="longtext1"/>
          <w:rFonts w:eastAsia="仿宋_GB2312" w:hint="eastAsia"/>
          <w:color w:val="000000"/>
          <w:szCs w:val="21"/>
        </w:rPr>
        <w:t xml:space="preserve"> includes six parts</w:t>
      </w:r>
      <w:r>
        <w:rPr>
          <w:rStyle w:val="longtext1"/>
          <w:rFonts w:eastAsia="仿宋_GB2312" w:hint="eastAsia"/>
          <w:color w:val="000000"/>
          <w:szCs w:val="21"/>
        </w:rPr>
        <w:t>：</w:t>
      </w:r>
      <w:r>
        <w:rPr>
          <w:rStyle w:val="longtext1"/>
          <w:rFonts w:eastAsia="仿宋_GB2312" w:hint="eastAsia"/>
          <w:color w:val="000000"/>
          <w:szCs w:val="21"/>
        </w:rPr>
        <w:t>Introduction, Tax Jurisdiction, Resident and Permanent Establishment, Transfer Pricing, International Anti-tax Avoidance, Tax Treaty.</w:t>
      </w:r>
    </w:p>
    <w:p w:rsidR="00745C86" w:rsidRDefault="00745C86">
      <w:pPr>
        <w:widowControl/>
        <w:spacing w:line="500" w:lineRule="exact"/>
        <w:ind w:firstLineChars="200" w:firstLine="400"/>
        <w:rPr>
          <w:rStyle w:val="longtext1"/>
          <w:rFonts w:eastAsia="仿宋_GB2312"/>
          <w:color w:val="000000"/>
          <w:szCs w:val="21"/>
        </w:rPr>
      </w:pPr>
    </w:p>
    <w:sectPr w:rsidR="00745C86" w:rsidSect="00745C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248" w:rsidRDefault="00D70248" w:rsidP="0027734F">
      <w:r>
        <w:separator/>
      </w:r>
    </w:p>
  </w:endnote>
  <w:endnote w:type="continuationSeparator" w:id="0">
    <w:p w:rsidR="00D70248" w:rsidRDefault="00D70248" w:rsidP="0027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248" w:rsidRDefault="00D70248" w:rsidP="0027734F">
      <w:r>
        <w:separator/>
      </w:r>
    </w:p>
  </w:footnote>
  <w:footnote w:type="continuationSeparator" w:id="0">
    <w:p w:rsidR="00D70248" w:rsidRDefault="00D70248" w:rsidP="002773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C17"/>
    <w:rsid w:val="000A2402"/>
    <w:rsid w:val="0027734F"/>
    <w:rsid w:val="00581186"/>
    <w:rsid w:val="00744C17"/>
    <w:rsid w:val="00745C86"/>
    <w:rsid w:val="007F7FE3"/>
    <w:rsid w:val="008B693E"/>
    <w:rsid w:val="008D585F"/>
    <w:rsid w:val="00C7059A"/>
    <w:rsid w:val="00D70248"/>
    <w:rsid w:val="00E3115B"/>
    <w:rsid w:val="00F55D6C"/>
    <w:rsid w:val="4A55273A"/>
    <w:rsid w:val="75CD4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3DBA40-AF50-4532-B845-667B0A2D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5C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745C86"/>
    <w:pPr>
      <w:widowControl/>
      <w:spacing w:before="100" w:beforeAutospacing="1" w:after="100" w:afterAutospacing="1"/>
      <w:jc w:val="left"/>
    </w:pPr>
    <w:rPr>
      <w:rFonts w:ascii="宋体" w:hAnsi="宋体" w:cs="宋体"/>
      <w:kern w:val="0"/>
      <w:sz w:val="24"/>
    </w:rPr>
  </w:style>
  <w:style w:type="paragraph" w:styleId="a4">
    <w:name w:val="footer"/>
    <w:basedOn w:val="a"/>
    <w:link w:val="Char0"/>
    <w:uiPriority w:val="99"/>
    <w:unhideWhenUsed/>
    <w:rsid w:val="00745C86"/>
    <w:pPr>
      <w:tabs>
        <w:tab w:val="center" w:pos="4153"/>
        <w:tab w:val="right" w:pos="8306"/>
      </w:tabs>
      <w:snapToGrid w:val="0"/>
      <w:jc w:val="left"/>
    </w:pPr>
    <w:rPr>
      <w:sz w:val="18"/>
      <w:szCs w:val="18"/>
    </w:rPr>
  </w:style>
  <w:style w:type="paragraph" w:styleId="a5">
    <w:name w:val="header"/>
    <w:basedOn w:val="a"/>
    <w:link w:val="Char1"/>
    <w:uiPriority w:val="99"/>
    <w:unhideWhenUsed/>
    <w:rsid w:val="00745C86"/>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745C86"/>
    <w:rPr>
      <w:color w:val="CC0000"/>
    </w:rPr>
  </w:style>
  <w:style w:type="character" w:customStyle="1" w:styleId="longtext1">
    <w:name w:val="long_text1"/>
    <w:uiPriority w:val="99"/>
    <w:qFormat/>
    <w:rsid w:val="00745C86"/>
    <w:rPr>
      <w:rFonts w:cs="Times New Roman"/>
      <w:sz w:val="20"/>
      <w:szCs w:val="20"/>
    </w:rPr>
  </w:style>
  <w:style w:type="character" w:customStyle="1" w:styleId="Char1">
    <w:name w:val="页眉 Char"/>
    <w:basedOn w:val="a0"/>
    <w:link w:val="a5"/>
    <w:uiPriority w:val="99"/>
    <w:semiHidden/>
    <w:qFormat/>
    <w:rsid w:val="00745C86"/>
    <w:rPr>
      <w:rFonts w:ascii="Times New Roman" w:eastAsia="宋体" w:hAnsi="Times New Roman" w:cs="Times New Roman"/>
      <w:sz w:val="18"/>
      <w:szCs w:val="18"/>
    </w:rPr>
  </w:style>
  <w:style w:type="character" w:customStyle="1" w:styleId="Char0">
    <w:name w:val="页脚 Char"/>
    <w:basedOn w:val="a0"/>
    <w:link w:val="a4"/>
    <w:uiPriority w:val="99"/>
    <w:semiHidden/>
    <w:rsid w:val="00745C86"/>
    <w:rPr>
      <w:rFonts w:ascii="Times New Roman" w:eastAsia="宋体" w:hAnsi="Times New Roman" w:cs="Times New Roman"/>
      <w:sz w:val="18"/>
      <w:szCs w:val="18"/>
    </w:rPr>
  </w:style>
  <w:style w:type="character" w:customStyle="1" w:styleId="Char">
    <w:name w:val="正文文本缩进 Char"/>
    <w:basedOn w:val="a0"/>
    <w:link w:val="a3"/>
    <w:rsid w:val="00745C86"/>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1522</Characters>
  <Application>Microsoft Office Word</Application>
  <DocSecurity>0</DocSecurity>
  <Lines>12</Lines>
  <Paragraphs>3</Paragraphs>
  <ScaleCrop>false</ScaleCrop>
  <Company/>
  <LinksUpToDate>false</LinksUpToDate>
  <CharactersWithSpaces>1786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dc:creator>
  <cp:lastModifiedBy>Dell</cp:lastModifiedBy>
  <cp:revision>2</cp:revision>
  <dcterms:created xsi:type="dcterms:W3CDTF">2017-11-22T02:56:00Z</dcterms:created>
  <dcterms:modified xsi:type="dcterms:W3CDTF">2017-11-22T02:56:00Z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